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3131" w14:textId="77777777" w:rsidR="00C8169F" w:rsidRPr="00C8169F" w:rsidRDefault="00C8169F" w:rsidP="00C8169F">
      <w:pPr>
        <w:pStyle w:val="NormalnyWeb"/>
        <w:spacing w:after="160" w:line="360" w:lineRule="auto"/>
        <w:jc w:val="both"/>
        <w:rPr>
          <w:rFonts w:eastAsia="Calibri"/>
          <w:b/>
          <w:bCs/>
          <w:color w:val="000000" w:themeColor="text1"/>
          <w:kern w:val="24"/>
        </w:rPr>
      </w:pPr>
      <w:r w:rsidRPr="00C8169F">
        <w:rPr>
          <w:rFonts w:eastAsia="Calibri"/>
          <w:b/>
          <w:bCs/>
          <w:color w:val="000000" w:themeColor="text1"/>
          <w:kern w:val="24"/>
        </w:rPr>
        <w:t>LEŚNICTWO II STOPIEŃ</w:t>
      </w:r>
    </w:p>
    <w:p w14:paraId="6A8701A2" w14:textId="77777777" w:rsidR="00C8169F" w:rsidRPr="00C8169F" w:rsidRDefault="00C8169F" w:rsidP="00C8169F">
      <w:pPr>
        <w:pStyle w:val="NormalnyWeb"/>
        <w:spacing w:before="0" w:beforeAutospacing="0" w:after="160" w:afterAutospacing="0" w:line="360" w:lineRule="auto"/>
        <w:jc w:val="both"/>
        <w:rPr>
          <w:rFonts w:eastAsia="Calibri"/>
          <w:b/>
          <w:bCs/>
          <w:color w:val="000000" w:themeColor="text1"/>
          <w:kern w:val="24"/>
        </w:rPr>
      </w:pPr>
      <w:r w:rsidRPr="00C8169F">
        <w:rPr>
          <w:rFonts w:eastAsia="Calibri"/>
          <w:b/>
          <w:bCs/>
          <w:color w:val="000000" w:themeColor="text1"/>
          <w:kern w:val="24"/>
        </w:rPr>
        <w:t>ZAGADNIENIA EGZAMINACYJNE</w:t>
      </w:r>
    </w:p>
    <w:p w14:paraId="5856A613" w14:textId="77777777" w:rsidR="00C8169F" w:rsidRPr="00C8169F" w:rsidRDefault="00C8169F" w:rsidP="00C8169F">
      <w:pPr>
        <w:pStyle w:val="NormalnyWeb"/>
        <w:spacing w:before="0" w:beforeAutospacing="0" w:after="160" w:afterAutospacing="0" w:line="360" w:lineRule="auto"/>
        <w:jc w:val="both"/>
      </w:pPr>
      <w:r w:rsidRPr="00C8169F">
        <w:rPr>
          <w:rFonts w:eastAsia="Calibri"/>
          <w:b/>
          <w:bCs/>
          <w:color w:val="000000" w:themeColor="text1"/>
          <w:kern w:val="24"/>
        </w:rPr>
        <w:t>ZWIĄZANE Z KIERUNKIEM  KSZTAŁCENIA</w:t>
      </w:r>
    </w:p>
    <w:p w14:paraId="0F2E1B45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Czynniki wpływające na kształtowanie wizerunku instytucji i osób zarządzających zasobami przyrodniczymi.</w:t>
      </w:r>
    </w:p>
    <w:p w14:paraId="76D8DCE9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 xml:space="preserve">Możliwości bezkonfliktowego pogodzenia interesów różnych grup społecznych w zakresie zarządzania zasobami przyrodniczymi w oparciu o dobre praktyki europejskie i światowe. </w:t>
      </w:r>
    </w:p>
    <w:p w14:paraId="789FD558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Uwarunkowania gospodarki leśnej wynikające z Konwencji o ochronie różnorodności biologicznej (tzw. „Zasady z Malawi”).</w:t>
      </w:r>
    </w:p>
    <w:p w14:paraId="26C8972B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Wpływ postępowania hodowlanego na różnorodność biologiczną w lasach.</w:t>
      </w:r>
    </w:p>
    <w:p w14:paraId="785C0C62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Czynna i konserwatorska ochrona przyrody: cele i rezultaty.</w:t>
      </w:r>
    </w:p>
    <w:p w14:paraId="7E53FB8A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Gospodarka leśna na obszarach Natura 2000.</w:t>
      </w:r>
    </w:p>
    <w:p w14:paraId="76E5EBB8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Wpływ zaburzeń naturalnych na ekosystem leśny.</w:t>
      </w:r>
    </w:p>
    <w:p w14:paraId="6D90E528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Działania z zakresu hodowli lasu ograniczające wpływ zaburzeń na drzewostany.</w:t>
      </w:r>
    </w:p>
    <w:p w14:paraId="6AB41E59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>Omów cykl zarządzania projektem.</w:t>
      </w:r>
    </w:p>
    <w:p w14:paraId="1AFD2F0D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kern w:val="24"/>
        </w:rPr>
        <w:t xml:space="preserve">Wykres Ganta i inne znane </w:t>
      </w:r>
      <w:r w:rsidRPr="00C8169F">
        <w:rPr>
          <w:rFonts w:eastAsia="Calibri"/>
          <w:color w:val="000000" w:themeColor="text1"/>
          <w:kern w:val="24"/>
        </w:rPr>
        <w:t>narzędzia wspomagające zarzadzanie.</w:t>
      </w:r>
    </w:p>
    <w:p w14:paraId="7E02BCB7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 xml:space="preserve">Oczekiwania społeczeństwa względem lasów </w:t>
      </w:r>
      <w:proofErr w:type="spellStart"/>
      <w:r w:rsidRPr="00C8169F">
        <w:rPr>
          <w:rFonts w:eastAsia="Calibri"/>
          <w:color w:val="000000" w:themeColor="text1"/>
          <w:kern w:val="24"/>
        </w:rPr>
        <w:t>urbicenoz</w:t>
      </w:r>
      <w:proofErr w:type="spellEnd"/>
      <w:r w:rsidRPr="00C8169F">
        <w:rPr>
          <w:rFonts w:eastAsia="Calibri"/>
          <w:color w:val="000000" w:themeColor="text1"/>
          <w:kern w:val="24"/>
        </w:rPr>
        <w:t>.</w:t>
      </w:r>
    </w:p>
    <w:p w14:paraId="4A0EC51F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>Reguły kształtowania lasów w okolicach miast/</w:t>
      </w:r>
      <w:proofErr w:type="spellStart"/>
      <w:r w:rsidRPr="00C8169F">
        <w:rPr>
          <w:rFonts w:eastAsia="Calibri"/>
          <w:color w:val="000000" w:themeColor="text1"/>
          <w:kern w:val="24"/>
        </w:rPr>
        <w:t>urbicenoz</w:t>
      </w:r>
      <w:proofErr w:type="spellEnd"/>
      <w:r w:rsidRPr="00C8169F">
        <w:rPr>
          <w:rFonts w:eastAsia="Calibri"/>
          <w:color w:val="000000" w:themeColor="text1"/>
          <w:kern w:val="24"/>
        </w:rPr>
        <w:t>.</w:t>
      </w:r>
    </w:p>
    <w:p w14:paraId="33AD0DDB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>Budowanie i wzmacnianie lokalnych społeczności – diagnoza, edukacja, liderzy społeczni.</w:t>
      </w:r>
    </w:p>
    <w:p w14:paraId="10F94B00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>Dialog społeczny w tworzeniu polityk – cele, granice, uwarunkowania prawne.</w:t>
      </w:r>
    </w:p>
    <w:p w14:paraId="46BEFA91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>Charakterystyka przydatności metod teledetekcyjnych do badania stanu zdrowotnego lasów.</w:t>
      </w:r>
    </w:p>
    <w:p w14:paraId="279F7607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>Charakterystyka przydatności metod teledetekcyjnych do monitorowania procesów deforestacji.</w:t>
      </w:r>
    </w:p>
    <w:p w14:paraId="2B7FACDB" w14:textId="77777777" w:rsidR="00C8169F" w:rsidRPr="00C8169F" w:rsidRDefault="00C8169F" w:rsidP="0007540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C8169F">
        <w:rPr>
          <w:rFonts w:eastAsia="Calibri"/>
          <w:color w:val="000000" w:themeColor="text1"/>
          <w:kern w:val="24"/>
        </w:rPr>
        <w:t>Przeprowadzenie terapii lasem w postępujących krokach.</w:t>
      </w:r>
    </w:p>
    <w:p w14:paraId="5C171DE1" w14:textId="496FD998" w:rsidR="00C8169F" w:rsidRPr="00C8169F" w:rsidRDefault="00C8169F" w:rsidP="0007540F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C8169F">
        <w:rPr>
          <w:rFonts w:eastAsia="Calibri"/>
          <w:color w:val="000000" w:themeColor="text1"/>
          <w:kern w:val="24"/>
        </w:rPr>
        <w:t>Wpływ środowiska leśnego na zdrowie i dobrostan człowieka.</w:t>
      </w:r>
    </w:p>
    <w:p w14:paraId="7DE23626" w14:textId="77777777" w:rsidR="00C8169F" w:rsidRPr="00C8169F" w:rsidRDefault="00C8169F">
      <w:pPr>
        <w:rPr>
          <w:rFonts w:ascii="Times New Roman" w:hAnsi="Times New Roman" w:cs="Times New Roman"/>
          <w:sz w:val="24"/>
          <w:szCs w:val="24"/>
        </w:rPr>
      </w:pPr>
    </w:p>
    <w:p w14:paraId="6A4441D8" w14:textId="77777777" w:rsidR="00C8169F" w:rsidRPr="00C8169F" w:rsidRDefault="00C8169F">
      <w:pPr>
        <w:rPr>
          <w:rFonts w:ascii="Times New Roman" w:hAnsi="Times New Roman" w:cs="Times New Roman"/>
          <w:sz w:val="24"/>
          <w:szCs w:val="24"/>
        </w:rPr>
      </w:pPr>
    </w:p>
    <w:p w14:paraId="579EE6FD" w14:textId="77777777" w:rsidR="00C8169F" w:rsidRPr="00C8169F" w:rsidRDefault="00C8169F">
      <w:pPr>
        <w:rPr>
          <w:rFonts w:ascii="Times New Roman" w:hAnsi="Times New Roman" w:cs="Times New Roman"/>
          <w:sz w:val="24"/>
          <w:szCs w:val="24"/>
        </w:rPr>
      </w:pPr>
    </w:p>
    <w:p w14:paraId="06106ADB" w14:textId="77777777" w:rsidR="00C8169F" w:rsidRPr="00C8169F" w:rsidRDefault="00C8169F">
      <w:pPr>
        <w:rPr>
          <w:rFonts w:ascii="Times New Roman" w:hAnsi="Times New Roman" w:cs="Times New Roman"/>
          <w:sz w:val="24"/>
          <w:szCs w:val="24"/>
        </w:rPr>
      </w:pPr>
    </w:p>
    <w:p w14:paraId="3EDFF919" w14:textId="77777777" w:rsidR="00C8169F" w:rsidRPr="00C8169F" w:rsidRDefault="00C8169F">
      <w:pPr>
        <w:rPr>
          <w:rFonts w:ascii="Times New Roman" w:hAnsi="Times New Roman" w:cs="Times New Roman"/>
          <w:sz w:val="24"/>
          <w:szCs w:val="24"/>
        </w:rPr>
      </w:pPr>
    </w:p>
    <w:p w14:paraId="31640DFF" w14:textId="77777777" w:rsidR="00C8169F" w:rsidRPr="00C8169F" w:rsidRDefault="00C8169F" w:rsidP="00C8169F">
      <w:pPr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b/>
          <w:bCs/>
          <w:sz w:val="24"/>
          <w:szCs w:val="24"/>
        </w:rPr>
        <w:t>ZAGADNIENIA ZWIĄZANE Z ZAKRESEM KSZTAŁCENIA</w:t>
      </w:r>
    </w:p>
    <w:p w14:paraId="6679C846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 xml:space="preserve">Polifunkcyjność </w:t>
      </w:r>
      <w:proofErr w:type="spellStart"/>
      <w:r w:rsidRPr="00C8169F">
        <w:rPr>
          <w:rFonts w:ascii="Times New Roman" w:hAnsi="Times New Roman" w:cs="Times New Roman"/>
          <w:sz w:val="24"/>
          <w:szCs w:val="24"/>
        </w:rPr>
        <w:t>mykoryz</w:t>
      </w:r>
      <w:proofErr w:type="spellEnd"/>
      <w:r w:rsidRPr="00C8169F">
        <w:rPr>
          <w:rFonts w:ascii="Times New Roman" w:hAnsi="Times New Roman" w:cs="Times New Roman"/>
          <w:sz w:val="24"/>
          <w:szCs w:val="24"/>
        </w:rPr>
        <w:t xml:space="preserve"> w warunkach stresu środowiskowego drzew i drzewostanów</w:t>
      </w:r>
    </w:p>
    <w:p w14:paraId="6905210F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Gradacje jako czynnik regulujący homeostazę ekosystemu.</w:t>
      </w:r>
    </w:p>
    <w:p w14:paraId="04D2316B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Zalety i wady biologicznych metod ochrony drzew w integrowanym systemie roślin.</w:t>
      </w:r>
    </w:p>
    <w:p w14:paraId="0EBE77BE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Wpływ mechanizacji prac leśnych na rynek pracy</w:t>
      </w:r>
    </w:p>
    <w:p w14:paraId="3C046B65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Efektywność maszyn wielooperacyjnych w dobie rosnących wymogów ochrony przyrody</w:t>
      </w:r>
    </w:p>
    <w:p w14:paraId="1098E473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Maszyny autonomiczne i kierowane zdalnie w pozyskaniu drewna</w:t>
      </w:r>
    </w:p>
    <w:p w14:paraId="5480D2B0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Lasy jako globalny magazyn węgla.</w:t>
      </w:r>
    </w:p>
    <w:p w14:paraId="6D1F8BA4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Las w świadomości społecznej/mediach społecznościowych.</w:t>
      </w:r>
    </w:p>
    <w:p w14:paraId="6E3D0D62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Wylesienia i zalesienia oraz ich znaczenie w różnych regionach świata.</w:t>
      </w:r>
    </w:p>
    <w:p w14:paraId="37375DB7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Przyczyny i skutki zmian klimatycznych Ziemi.</w:t>
      </w:r>
    </w:p>
    <w:p w14:paraId="62130BB9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Procesy emisji i asymilacji gazów cieplarnianych w ekosystemach leśnych.</w:t>
      </w:r>
    </w:p>
    <w:p w14:paraId="0FB594AC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Znaczenie lasów w łagodzeniu zmian klimatycznych.</w:t>
      </w:r>
    </w:p>
    <w:p w14:paraId="44154381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 xml:space="preserve">Kształtowanie krajobrazu leśnego w kontekście poprawy jego walorów wizualnych i oczekiwań społecznych. </w:t>
      </w:r>
    </w:p>
    <w:p w14:paraId="7ECB8E77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Rola lasów w kształtowaniu wybranych krajobrazów.</w:t>
      </w:r>
    </w:p>
    <w:p w14:paraId="62256CEE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Procesy wpływające na kształt, funkcjonowanie oraz zagrożenia krajobrazu i sposoby przeciwdziałania.</w:t>
      </w:r>
    </w:p>
    <w:p w14:paraId="50D0D07C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Elementy rynku drewna tartacznego w Polsce na tle europejskim.</w:t>
      </w:r>
    </w:p>
    <w:p w14:paraId="75DAFFB5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 xml:space="preserve"> Elementy rynku płyt drewnopochodnych w Polsce na tle europejskim.</w:t>
      </w:r>
    </w:p>
    <w:p w14:paraId="6D90BAB6" w14:textId="77777777" w:rsidR="00B91D24" w:rsidRPr="00C8169F" w:rsidRDefault="00C8169F" w:rsidP="000754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sz w:val="24"/>
          <w:szCs w:val="24"/>
        </w:rPr>
        <w:t>Współpraca Lasów Państwowych z odbiorców drewna.</w:t>
      </w:r>
    </w:p>
    <w:p w14:paraId="6457D0FA" w14:textId="77777777" w:rsidR="00783418" w:rsidRPr="00C8169F" w:rsidRDefault="00C8169F">
      <w:pPr>
        <w:rPr>
          <w:rFonts w:ascii="Times New Roman" w:hAnsi="Times New Roman" w:cs="Times New Roman"/>
          <w:sz w:val="24"/>
          <w:szCs w:val="24"/>
        </w:rPr>
      </w:pPr>
      <w:r w:rsidRPr="00C8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E036" wp14:editId="41BE45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81360" cy="5775940"/>
                <wp:effectExtent l="0" t="0" r="0" b="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1360" cy="577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0EC5AF" w14:textId="77777777" w:rsidR="00C8169F" w:rsidRDefault="00C8169F" w:rsidP="00C8169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8E036" id="Prostokąt 1" o:spid="_x0000_s1026" style="position:absolute;margin-left:0;margin-top:0;width:856.8pt;height:4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" filled="f" stroked="f">
                <v:textbox style="mso-fit-shape-to-text:t">
                  <w:txbxContent>
                    <w:p w14:paraId="410EC5AF" w14:textId="77777777" w:rsidR="00C8169F" w:rsidRDefault="00C8169F" w:rsidP="00C8169F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783418" w:rsidRPr="00C8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C3"/>
    <w:multiLevelType w:val="hybridMultilevel"/>
    <w:tmpl w:val="73A61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2650A"/>
    <w:multiLevelType w:val="hybridMultilevel"/>
    <w:tmpl w:val="E07A40AE"/>
    <w:lvl w:ilvl="0" w:tplc="BC32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01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49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25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4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45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08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0F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08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D58"/>
    <w:multiLevelType w:val="hybridMultilevel"/>
    <w:tmpl w:val="DBFC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75424"/>
    <w:multiLevelType w:val="hybridMultilevel"/>
    <w:tmpl w:val="5628D0BC"/>
    <w:lvl w:ilvl="0" w:tplc="335A5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F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47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A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A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EF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0C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3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61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415926">
    <w:abstractNumId w:val="3"/>
  </w:num>
  <w:num w:numId="2" w16cid:durableId="8798836">
    <w:abstractNumId w:val="1"/>
  </w:num>
  <w:num w:numId="3" w16cid:durableId="1315067030">
    <w:abstractNumId w:val="2"/>
  </w:num>
  <w:num w:numId="4" w16cid:durableId="173666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9F"/>
    <w:rsid w:val="0007540F"/>
    <w:rsid w:val="00783418"/>
    <w:rsid w:val="00B91D24"/>
    <w:rsid w:val="00C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B4BB"/>
  <w15:chartTrackingRefBased/>
  <w15:docId w15:val="{E0C0636E-9A16-442E-AB08-50EF0BC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6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69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Natalia Plona</cp:lastModifiedBy>
  <cp:revision>2</cp:revision>
  <dcterms:created xsi:type="dcterms:W3CDTF">2023-11-23T08:28:00Z</dcterms:created>
  <dcterms:modified xsi:type="dcterms:W3CDTF">2023-11-23T08:46:00Z</dcterms:modified>
</cp:coreProperties>
</file>